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C0C0C0"/>
        <w:tblCellMar>
          <w:left w:w="0" w:type="dxa"/>
          <w:right w:w="0" w:type="dxa"/>
        </w:tblCellMar>
        <w:tblLook w:val="04A0" w:firstRow="1" w:lastRow="0" w:firstColumn="1" w:lastColumn="0" w:noHBand="0" w:noVBand="1"/>
      </w:tblPr>
      <w:tblGrid>
        <w:gridCol w:w="9026"/>
      </w:tblGrid>
      <w:tr>
        <w:trPr>
          <w:tblCellSpacing w:w="0" w:type="dxa"/>
        </w:trPr>
        <w:tc>
          <w:tcPr>
            <w:tcW w:w="0" w:type="auto"/>
            <w:shd w:val="clear" w:color="auto" w:fill="C0C0C0"/>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026"/>
            </w:tblGrid>
            <w:tr>
              <w:trPr>
                <w:tblCellSpacing w:w="0" w:type="dxa"/>
                <w:jc w:val="center"/>
              </w:trPr>
              <w:tc>
                <w:tcPr>
                  <w:tcW w:w="0" w:type="auto"/>
                  <w:shd w:val="clear" w:color="auto" w:fill="FFFFFF"/>
                  <w:hideMark/>
                </w:tcPr>
                <w:tbl>
                  <w:tblPr>
                    <w:tblW w:w="9600" w:type="dxa"/>
                    <w:tblCellSpacing w:w="0" w:type="dxa"/>
                    <w:tblCellMar>
                      <w:left w:w="0" w:type="dxa"/>
                      <w:right w:w="0" w:type="dxa"/>
                    </w:tblCellMar>
                    <w:tblLook w:val="04A0" w:firstRow="1" w:lastRow="0" w:firstColumn="1" w:lastColumn="0" w:noHBand="0" w:noVBand="1"/>
                  </w:tblPr>
                  <w:tblGrid>
                    <w:gridCol w:w="450"/>
                    <w:gridCol w:w="4890"/>
                    <w:gridCol w:w="4260"/>
                  </w:tblGrid>
                  <w:tr>
                    <w:trPr>
                      <w:tblCellSpacing w:w="0" w:type="dxa"/>
                    </w:trPr>
                    <w:tc>
                      <w:tcPr>
                        <w:tcW w:w="450" w:type="dxa"/>
                        <w:vAlign w:val="center"/>
                        <w:hideMark/>
                      </w:tcPr>
                      <w:p>
                        <w:pPr>
                          <w:rPr>
                            <w:sz w:val="24"/>
                            <w:szCs w:val="24"/>
                          </w:rPr>
                        </w:pPr>
                        <w:r>
                          <w:t> </w:t>
                        </w:r>
                      </w:p>
                    </w:tc>
                    <w:tc>
                      <w:tcPr>
                        <w:tcW w:w="4890" w:type="dxa"/>
                        <w:vAlign w:val="bottom"/>
                        <w:hideMark/>
                      </w:tcPr>
                      <w:p>
                        <w:pPr>
                          <w:pStyle w:val="bannersubtitle"/>
                          <w:rPr>
                            <w:rFonts w:ascii="Verdana" w:hAnsi="Verdana"/>
                            <w:b/>
                            <w:bCs/>
                            <w:color w:val="408B39"/>
                            <w:sz w:val="60"/>
                            <w:szCs w:val="60"/>
                          </w:rPr>
                        </w:pPr>
                        <w:r>
                          <w:rPr>
                            <w:rFonts w:ascii="Verdana" w:hAnsi="Verdana"/>
                            <w:b/>
                            <w:bCs/>
                            <w:color w:val="408B39"/>
                            <w:sz w:val="60"/>
                            <w:szCs w:val="60"/>
                          </w:rPr>
                          <w:t>Children, Families and Adults</w:t>
                        </w:r>
                      </w:p>
                      <w:p>
                        <w:pPr>
                          <w:pStyle w:val="bannertitleedition"/>
                        </w:pPr>
                        <w:r>
                          <w:rPr>
                            <w:rFonts w:ascii="Verdana" w:hAnsi="Verdana"/>
                            <w:color w:val="505050"/>
                            <w:sz w:val="28"/>
                            <w:szCs w:val="28"/>
                            <w:lang w:eastAsia="en-US"/>
                          </w:rPr>
                          <w:t>27 June 2017</w:t>
                        </w:r>
                      </w:p>
                    </w:tc>
                    <w:tc>
                      <w:tcPr>
                        <w:tcW w:w="4260" w:type="dxa"/>
                        <w:hideMark/>
                      </w:tcPr>
                      <w:p>
                        <w:pPr>
                          <w:jc w:val="right"/>
                          <w:rPr>
                            <w:sz w:val="24"/>
                            <w:szCs w:val="24"/>
                          </w:rPr>
                        </w:pPr>
                        <w:r>
                          <w:rPr>
                            <w:noProof/>
                            <w:lang w:eastAsia="en-GB"/>
                          </w:rPr>
                          <w:drawing>
                            <wp:inline distT="0" distB="0" distL="0" distR="0">
                              <wp:extent cx="2705100" cy="1714500"/>
                              <wp:effectExtent l="0" t="0" r="0" b="0"/>
                              <wp:docPr id="2" name="Picture 2" descr="cid:image001.gif@01CFCDB0.BFEAD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FCDB0.BFEAD4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05100" cy="1714500"/>
                                      </a:xfrm>
                                      <a:prstGeom prst="rect">
                                        <a:avLst/>
                                      </a:prstGeom>
                                      <a:noFill/>
                                      <a:ln>
                                        <a:noFill/>
                                      </a:ln>
                                    </pic:spPr>
                                  </pic:pic>
                                </a:graphicData>
                              </a:graphic>
                            </wp:inline>
                          </w:drawing>
                        </w:r>
                      </w:p>
                    </w:tc>
                  </w:tr>
                </w:tbl>
                <w:p>
                  <w:pPr>
                    <w:rPr>
                      <w:rFonts w:ascii="Times New Roman" w:eastAsia="Times New Roman" w:hAnsi="Times New Roman"/>
                      <w:sz w:val="20"/>
                      <w:szCs w:val="20"/>
                      <w:lang w:eastAsia="en-GB"/>
                    </w:rPr>
                  </w:pPr>
                </w:p>
              </w:tc>
            </w:tr>
            <w:tr>
              <w:trPr>
                <w:trHeight w:val="300"/>
                <w:tblCellSpacing w:w="0" w:type="dxa"/>
                <w:jc w:val="center"/>
              </w:trPr>
              <w:tc>
                <w:tcPr>
                  <w:tcW w:w="0" w:type="auto"/>
                  <w:shd w:val="clear" w:color="auto" w:fill="FFFFFF"/>
                  <w:hideMark/>
                </w:tcPr>
                <w:p>
                  <w:pPr>
                    <w:rPr>
                      <w:sz w:val="24"/>
                      <w:szCs w:val="24"/>
                    </w:rPr>
                  </w:pPr>
                  <w:r>
                    <w:t> </w:t>
                  </w:r>
                </w:p>
              </w:tc>
            </w:tr>
            <w:tr>
              <w:trPr>
                <w:tblCellSpacing w:w="0" w:type="dxa"/>
                <w:jc w:val="center"/>
              </w:trPr>
              <w:tc>
                <w:tcPr>
                  <w:tcW w:w="0" w:type="auto"/>
                  <w:shd w:val="clear" w:color="auto" w:fill="FFFFFF"/>
                  <w:hideMark/>
                </w:tcPr>
                <w:tbl>
                  <w:tblPr>
                    <w:tblW w:w="9600" w:type="dxa"/>
                    <w:tblCellSpacing w:w="0" w:type="dxa"/>
                    <w:tblCellMar>
                      <w:left w:w="0" w:type="dxa"/>
                      <w:right w:w="0" w:type="dxa"/>
                    </w:tblCellMar>
                    <w:tblLook w:val="04A0" w:firstRow="1" w:lastRow="0" w:firstColumn="1" w:lastColumn="0" w:noHBand="0" w:noVBand="1"/>
                  </w:tblPr>
                  <w:tblGrid>
                    <w:gridCol w:w="409"/>
                    <w:gridCol w:w="5296"/>
                    <w:gridCol w:w="274"/>
                    <w:gridCol w:w="3212"/>
                    <w:gridCol w:w="409"/>
                  </w:tblGrid>
                  <w:tr>
                    <w:trPr>
                      <w:tblCellSpacing w:w="0" w:type="dxa"/>
                    </w:trPr>
                    <w:tc>
                      <w:tcPr>
                        <w:tcW w:w="450" w:type="dxa"/>
                        <w:hideMark/>
                      </w:tcPr>
                      <w:p>
                        <w:pPr>
                          <w:rPr>
                            <w:sz w:val="24"/>
                            <w:szCs w:val="24"/>
                          </w:rPr>
                        </w:pPr>
                        <w:r>
                          <w:t> </w:t>
                        </w:r>
                      </w:p>
                    </w:tc>
                    <w:tc>
                      <w:tcPr>
                        <w:tcW w:w="5700" w:type="dxa"/>
                      </w:tcPr>
                      <w:p>
                        <w:pPr>
                          <w:pStyle w:val="NormalWeb"/>
                          <w:rPr>
                            <w:rFonts w:ascii="Verdana" w:hAnsi="Verdana"/>
                            <w:b/>
                            <w:bCs/>
                            <w:color w:val="404040"/>
                            <w:sz w:val="22"/>
                            <w:szCs w:val="22"/>
                            <w:lang w:eastAsia="en-US"/>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635</wp:posOffset>
                              </wp:positionV>
                              <wp:extent cx="1111250" cy="1509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50" cy="1509395"/>
                                      </a:xfrm>
                                      <a:prstGeom prst="rect">
                                        <a:avLst/>
                                      </a:prstGeom>
                                      <a:noFill/>
                                    </pic:spPr>
                                  </pic:pic>
                                </a:graphicData>
                              </a:graphic>
                              <wp14:sizeRelH relativeFrom="page">
                                <wp14:pctWidth>0</wp14:pctWidth>
                              </wp14:sizeRelH>
                              <wp14:sizeRelV relativeFrom="page">
                                <wp14:pctHeight>0</wp14:pctHeight>
                              </wp14:sizeRelV>
                            </wp:anchor>
                          </w:drawing>
                        </w:r>
                      </w:p>
                      <w:p>
                        <w:pPr>
                          <w:pStyle w:val="NormalWeb"/>
                          <w:rPr>
                            <w:rFonts w:ascii="Verdana" w:hAnsi="Verdana"/>
                            <w:b/>
                            <w:bCs/>
                            <w:color w:val="404040"/>
                            <w:sz w:val="22"/>
                            <w:szCs w:val="22"/>
                            <w:lang w:eastAsia="en-US"/>
                          </w:rPr>
                        </w:pPr>
                      </w:p>
                      <w:p>
                        <w:pPr>
                          <w:pStyle w:val="NormalWeb"/>
                          <w:rPr>
                            <w:rFonts w:ascii="Verdana" w:hAnsi="Verdana"/>
                            <w:color w:val="404040"/>
                            <w:sz w:val="22"/>
                            <w:szCs w:val="22"/>
                            <w:lang w:eastAsia="en-US"/>
                          </w:rPr>
                        </w:pPr>
                        <w:r>
                          <w:rPr>
                            <w:rFonts w:ascii="Verdana" w:hAnsi="Verdana"/>
                            <w:b/>
                            <w:bCs/>
                            <w:color w:val="404040"/>
                            <w:sz w:val="22"/>
                            <w:szCs w:val="22"/>
                            <w:lang w:eastAsia="en-US"/>
                          </w:rPr>
                          <w:t>A Message from Jane Black, Service Director (Education and Early Years)</w:t>
                        </w:r>
                      </w:p>
                      <w:p>
                        <w:pPr>
                          <w:pStyle w:val="NormalWeb"/>
                          <w:rPr>
                            <w:rFonts w:ascii="Verdana" w:hAnsi="Verdana"/>
                            <w:color w:val="505050"/>
                            <w:sz w:val="22"/>
                            <w:szCs w:val="22"/>
                            <w:lang w:eastAsia="en-US"/>
                          </w:rPr>
                        </w:pPr>
                      </w:p>
                      <w:p>
                        <w:pPr>
                          <w:jc w:val="center"/>
                          <w:rPr>
                            <w:rFonts w:ascii="Times New Roman" w:eastAsia="Times New Roman" w:hAnsi="Times New Roman"/>
                            <w:sz w:val="20"/>
                            <w:szCs w:val="20"/>
                            <w:lang w:eastAsia="en-GB"/>
                          </w:rPr>
                        </w:pPr>
                        <w:r>
                          <w:rPr>
                            <w:rFonts w:ascii="Times New Roman" w:eastAsia="Times New Roman" w:hAnsi="Times New Roman"/>
                            <w:sz w:val="20"/>
                            <w:szCs w:val="20"/>
                            <w:lang w:eastAsia="en-GB"/>
                          </w:rPr>
                          <w:pict>
                            <v:rect id="_x0000_i1219" style="width:451.3pt;height:1.5pt" o:hralign="center" o:hrstd="t" o:hrnoshade="t" o:hr="t" fillcolor="#408b39" stroked="f"/>
                          </w:pict>
                        </w:r>
                      </w:p>
                      <w:p>
                        <w:pPr>
                          <w:jc w:val="center"/>
                          <w:rPr>
                            <w:rFonts w:ascii="Times New Roman" w:hAnsi="Times New Roman"/>
                            <w:sz w:val="20"/>
                            <w:szCs w:val="20"/>
                            <w:lang w:eastAsia="en-GB"/>
                          </w:rPr>
                        </w:pPr>
                      </w:p>
                    </w:tc>
                    <w:tc>
                      <w:tcPr>
                        <w:tcW w:w="300" w:type="dxa"/>
                        <w:hideMark/>
                      </w:tcPr>
                      <w:p>
                        <w:pPr>
                          <w:rPr>
                            <w:sz w:val="24"/>
                            <w:szCs w:val="24"/>
                          </w:rPr>
                        </w:pPr>
                        <w:r>
                          <w:t> </w:t>
                        </w:r>
                      </w:p>
                    </w:tc>
                    <w:tc>
                      <w:tcPr>
                        <w:tcW w:w="2700" w:type="dxa"/>
                        <w:hideMark/>
                      </w:tcPr>
                      <w:tbl>
                        <w:tblPr>
                          <w:tblW w:w="0" w:type="auto"/>
                          <w:shd w:val="clear" w:color="auto" w:fill="408B39"/>
                          <w:tblCellMar>
                            <w:left w:w="0" w:type="dxa"/>
                            <w:right w:w="0" w:type="dxa"/>
                          </w:tblCellMar>
                          <w:tblLook w:val="04A0" w:firstRow="1" w:lastRow="0" w:firstColumn="1" w:lastColumn="0" w:noHBand="0" w:noVBand="1"/>
                        </w:tblPr>
                        <w:tblGrid>
                          <w:gridCol w:w="3212"/>
                        </w:tblGrid>
                        <w:tr>
                          <w:tc>
                            <w:tcPr>
                              <w:tcW w:w="2685" w:type="dxa"/>
                              <w:shd w:val="clear" w:color="auto" w:fill="408B39"/>
                              <w:tcMar>
                                <w:top w:w="227" w:type="dxa"/>
                                <w:left w:w="198" w:type="dxa"/>
                                <w:bottom w:w="227" w:type="dxa"/>
                                <w:right w:w="198" w:type="dxa"/>
                              </w:tcMar>
                            </w:tcPr>
                            <w:p>
                              <w:pPr>
                                <w:rPr>
                                  <w:rFonts w:ascii="Verdana" w:hAnsi="Verdana"/>
                                  <w:b/>
                                  <w:bCs/>
                                  <w:sz w:val="20"/>
                                  <w:szCs w:val="20"/>
                                </w:rPr>
                              </w:pPr>
                              <w:r>
                                <w:rPr>
                                  <w:rFonts w:ascii="Verdana" w:hAnsi="Verdana"/>
                                  <w:b/>
                                  <w:bCs/>
                                  <w:sz w:val="20"/>
                                  <w:szCs w:val="20"/>
                                </w:rPr>
                                <w:t>Contact</w:t>
                              </w:r>
                            </w:p>
                            <w:p>
                              <w:pPr>
                                <w:rPr>
                                  <w:rFonts w:ascii="Verdana" w:hAnsi="Verdana"/>
                                  <w:sz w:val="20"/>
                                  <w:szCs w:val="20"/>
                                </w:rPr>
                              </w:pPr>
                            </w:p>
                            <w:p>
                              <w:pPr>
                                <w:rPr>
                                  <w:rFonts w:ascii="Verdana" w:hAnsi="Verdana"/>
                                  <w:b/>
                                  <w:bCs/>
                                  <w:color w:val="0062AB"/>
                                </w:rPr>
                              </w:pPr>
                              <w:r>
                                <w:rPr>
                                  <w:rStyle w:val="Strong"/>
                                  <w:rFonts w:ascii="Verdana" w:hAnsi="Verdana"/>
                                  <w:sz w:val="20"/>
                                  <w:szCs w:val="20"/>
                                </w:rPr>
                                <w:t>Jane Black</w:t>
                              </w:r>
                              <w:r>
                                <w:rPr>
                                  <w:rFonts w:ascii="Verdana" w:hAnsi="Verdana"/>
                                  <w:sz w:val="20"/>
                                  <w:szCs w:val="20"/>
                                </w:rPr>
                                <w:br/>
                                <w:t>Service Director</w:t>
                              </w:r>
                              <w:r>
                                <w:rPr>
                                  <w:rFonts w:ascii="Verdana" w:hAnsi="Verdana"/>
                                  <w:sz w:val="20"/>
                                  <w:szCs w:val="20"/>
                                </w:rPr>
                                <w:br/>
                                <w:t>(Education and Early Years)</w:t>
                              </w:r>
                              <w:r>
                                <w:rPr>
                                  <w:rFonts w:ascii="Verdana" w:hAnsi="Verdana"/>
                                  <w:sz w:val="20"/>
                                  <w:szCs w:val="20"/>
                                </w:rPr>
                                <w:br/>
                                <w:t>Children, Families and Adults</w:t>
                              </w:r>
                              <w:r>
                                <w:rPr>
                                  <w:rFonts w:ascii="Verdana" w:hAnsi="Verdana"/>
                                  <w:sz w:val="20"/>
                                  <w:szCs w:val="20"/>
                                </w:rPr>
                                <w:br/>
                              </w:r>
                              <w:r>
                                <w:rPr>
                                  <w:rFonts w:ascii="Verdana" w:hAnsi="Verdana"/>
                                  <w:sz w:val="20"/>
                                  <w:szCs w:val="20"/>
                                </w:rPr>
                                <w:br/>
                                <w:t>Cornwall Council</w:t>
                              </w:r>
                              <w:r>
                                <w:rPr>
                                  <w:rFonts w:ascii="Verdana" w:hAnsi="Verdana"/>
                                  <w:sz w:val="20"/>
                                  <w:szCs w:val="20"/>
                                </w:rPr>
                                <w:br/>
                                <w:t>Tel: 01872 327421</w:t>
                              </w:r>
                              <w:r>
                                <w:rPr>
                                  <w:rFonts w:ascii="Verdana" w:hAnsi="Verdana"/>
                                  <w:sz w:val="20"/>
                                  <w:szCs w:val="20"/>
                                </w:rPr>
                                <w:br/>
                              </w:r>
                              <w:hyperlink r:id="rId7" w:history="1">
                                <w:r>
                                  <w:rPr>
                                    <w:rStyle w:val="Hyperlink"/>
                                    <w:rFonts w:ascii="Verdana" w:hAnsi="Verdana"/>
                                    <w:color w:val="000000"/>
                                    <w:sz w:val="20"/>
                                    <w:szCs w:val="20"/>
                                  </w:rPr>
                                  <w:t>jane.black@cornwall.gov.uk</w:t>
                                </w:r>
                              </w:hyperlink>
                            </w:p>
                          </w:tc>
                        </w:tr>
                      </w:tbl>
                      <w:p>
                        <w:pPr>
                          <w:rPr>
                            <w:rFonts w:ascii="Times New Roman" w:eastAsia="Times New Roman" w:hAnsi="Times New Roman"/>
                            <w:sz w:val="20"/>
                            <w:szCs w:val="20"/>
                            <w:lang w:eastAsia="en-GB"/>
                          </w:rPr>
                        </w:pPr>
                      </w:p>
                    </w:tc>
                    <w:tc>
                      <w:tcPr>
                        <w:tcW w:w="450" w:type="dxa"/>
                        <w:hideMark/>
                      </w:tcPr>
                      <w:p>
                        <w:pPr>
                          <w:rPr>
                            <w:sz w:val="24"/>
                            <w:szCs w:val="24"/>
                          </w:rPr>
                        </w:pPr>
                        <w:r>
                          <w:t> </w:t>
                        </w:r>
                      </w:p>
                    </w:tc>
                  </w:tr>
                </w:tbl>
                <w:p>
                  <w:pPr>
                    <w:rPr>
                      <w:rFonts w:ascii="Times New Roman" w:eastAsia="Times New Roman" w:hAnsi="Times New Roman"/>
                      <w:sz w:val="20"/>
                      <w:szCs w:val="20"/>
                      <w:lang w:eastAsia="en-GB"/>
                    </w:rPr>
                  </w:pPr>
                </w:p>
              </w:tc>
            </w:tr>
            <w:tr>
              <w:trPr>
                <w:tblCellSpacing w:w="0" w:type="dxa"/>
                <w:jc w:val="center"/>
              </w:trPr>
              <w:tc>
                <w:tcPr>
                  <w:tcW w:w="0" w:type="auto"/>
                  <w:shd w:val="clear" w:color="auto" w:fill="FFFFFF"/>
                  <w:hideMark/>
                </w:tcPr>
                <w:tbl>
                  <w:tblPr>
                    <w:tblpPr w:leftFromText="45" w:rightFromText="45" w:vertAnchor="text"/>
                    <w:tblW w:w="9600" w:type="dxa"/>
                    <w:tblCellSpacing w:w="0" w:type="dxa"/>
                    <w:tblCellMar>
                      <w:left w:w="0" w:type="dxa"/>
                      <w:right w:w="0" w:type="dxa"/>
                    </w:tblCellMar>
                    <w:tblLook w:val="04A0" w:firstRow="1" w:lastRow="0" w:firstColumn="1" w:lastColumn="0" w:noHBand="0" w:noVBand="1"/>
                  </w:tblPr>
                  <w:tblGrid>
                    <w:gridCol w:w="50"/>
                    <w:gridCol w:w="9114"/>
                    <w:gridCol w:w="436"/>
                  </w:tblGrid>
                  <w:tr>
                    <w:trPr>
                      <w:trHeight w:val="600"/>
                      <w:tblCellSpacing w:w="0" w:type="dxa"/>
                    </w:trPr>
                    <w:tc>
                      <w:tcPr>
                        <w:tcW w:w="20" w:type="dxa"/>
                        <w:vAlign w:val="center"/>
                      </w:tcPr>
                      <w:p/>
                    </w:tc>
                    <w:tc>
                      <w:tcPr>
                        <w:tcW w:w="9130" w:type="dxa"/>
                        <w:vAlign w:val="center"/>
                      </w:tcPr>
                      <w:p>
                        <w:pPr>
                          <w:pStyle w:val="NormalWeb"/>
                          <w:rPr>
                            <w:rFonts w:ascii="Verdana" w:hAnsi="Verdana"/>
                            <w:color w:val="505050"/>
                            <w:sz w:val="22"/>
                            <w:szCs w:val="22"/>
                            <w:lang w:eastAsia="en-US"/>
                          </w:rPr>
                        </w:pPr>
                        <w:r>
                          <w:rPr>
                            <w:rFonts w:ascii="Verdana" w:hAnsi="Verdana"/>
                            <w:b/>
                            <w:bCs/>
                            <w:color w:val="408B39"/>
                            <w:sz w:val="28"/>
                            <w:szCs w:val="28"/>
                            <w:lang w:eastAsia="en-US"/>
                          </w:rPr>
                          <w:t>SEND Local Area Inspection – Webinar for Parents / Carers</w:t>
                        </w:r>
                        <w:r>
                          <w:rPr>
                            <w:rFonts w:ascii="Verdana" w:hAnsi="Verdana"/>
                            <w:b/>
                            <w:bCs/>
                            <w:color w:val="0062AB"/>
                            <w:sz w:val="28"/>
                            <w:szCs w:val="28"/>
                            <w:lang w:eastAsia="en-US"/>
                          </w:rPr>
                          <w:br/>
                        </w:r>
                        <w:r>
                          <w:rPr>
                            <w:rFonts w:ascii="Verdana" w:hAnsi="Verdana"/>
                            <w:color w:val="505050"/>
                            <w:sz w:val="22"/>
                            <w:szCs w:val="22"/>
                            <w:lang w:eastAsia="en-US"/>
                          </w:rPr>
                          <w:br/>
                          <w:t>Dear colleagues,</w:t>
                        </w:r>
                      </w:p>
                      <w:p>
                        <w:pPr>
                          <w:pStyle w:val="NormalWeb"/>
                          <w:rPr>
                            <w:rFonts w:ascii="Verdana" w:hAnsi="Verdana"/>
                            <w:color w:val="505050"/>
                            <w:sz w:val="22"/>
                            <w:szCs w:val="22"/>
                            <w:lang w:eastAsia="en-US"/>
                          </w:rPr>
                        </w:pPr>
                        <w:r>
                          <w:rPr>
                            <w:rFonts w:ascii="Verdana" w:hAnsi="Verdana"/>
                            <w:color w:val="505050"/>
                            <w:sz w:val="22"/>
                            <w:szCs w:val="22"/>
                            <w:lang w:eastAsia="en-US"/>
                          </w:rPr>
                          <w:t>As part of the Inspection of Cornwall Council local area’s effectiveness in identifying and meeting the needs of, and improving outcomes for, children and young people who have special educational needs and/or disabilities from 3 July 2017 to 7 July 2017, Ofsted will host an online webinar to allow parents and carers to contribute.</w:t>
                        </w:r>
                      </w:p>
                      <w:p>
                        <w:pPr>
                          <w:pStyle w:val="NormalWeb"/>
                          <w:rPr>
                            <w:rFonts w:ascii="Verdana" w:hAnsi="Verdana"/>
                            <w:color w:val="505050"/>
                            <w:sz w:val="22"/>
                            <w:szCs w:val="22"/>
                            <w:lang w:eastAsia="en-US"/>
                          </w:rPr>
                        </w:pPr>
                        <w:r>
                          <w:rPr>
                            <w:rFonts w:ascii="Verdana" w:hAnsi="Verdana"/>
                            <w:color w:val="505050"/>
                            <w:sz w:val="22"/>
                            <w:szCs w:val="22"/>
                            <w:lang w:eastAsia="en-US"/>
                          </w:rPr>
                          <w:t xml:space="preserve">The webinar will take place at </w:t>
                        </w:r>
                        <w:r>
                          <w:rPr>
                            <w:rFonts w:ascii="Verdana" w:hAnsi="Verdana"/>
                            <w:b/>
                            <w:bCs/>
                            <w:color w:val="505050"/>
                            <w:sz w:val="22"/>
                            <w:szCs w:val="22"/>
                            <w:lang w:eastAsia="en-US"/>
                          </w:rPr>
                          <w:t>1.30 pm on Friday, 30 June 2017</w:t>
                        </w:r>
                        <w:r>
                          <w:rPr>
                            <w:rFonts w:ascii="Verdana" w:hAnsi="Verdana"/>
                            <w:color w:val="505050"/>
                            <w:sz w:val="22"/>
                            <w:szCs w:val="22"/>
                            <w:lang w:eastAsia="en-US"/>
                          </w:rPr>
                          <w:t>. It will be led by the lead inspector, Nigel Evans HMI, who will ask parents and carers about their views and experiences on how effectively Cornwall Council is fulfilling the above responsibilities.</w:t>
                        </w:r>
                      </w:p>
                      <w:p>
                        <w:pPr>
                          <w:pStyle w:val="NormalWeb"/>
                          <w:rPr>
                            <w:rFonts w:ascii="Verdana" w:hAnsi="Verdana"/>
                            <w:color w:val="505050"/>
                            <w:sz w:val="22"/>
                            <w:szCs w:val="22"/>
                            <w:lang w:eastAsia="en-US"/>
                          </w:rPr>
                        </w:pPr>
                        <w:r>
                          <w:rPr>
                            <w:rFonts w:ascii="Verdana" w:hAnsi="Verdana"/>
                            <w:color w:val="505050"/>
                            <w:sz w:val="22"/>
                            <w:szCs w:val="22"/>
                            <w:lang w:eastAsia="en-US"/>
                          </w:rPr>
                          <w:t>Please therefore find below a link to our web page which is promoting the webinar; there is a link on the page for parents / carers to register prior to the webinar taking place.  This is also linked from the Cornwall Council Home Page Carousel.</w:t>
                        </w:r>
                      </w:p>
                      <w:p>
                        <w:pPr>
                          <w:pStyle w:val="NormalWeb"/>
                          <w:rPr>
                            <w:rFonts w:ascii="Verdana" w:hAnsi="Verdana"/>
                            <w:color w:val="505050"/>
                            <w:sz w:val="22"/>
                            <w:szCs w:val="22"/>
                            <w:lang w:eastAsia="en-US"/>
                          </w:rPr>
                        </w:pPr>
                        <w:hyperlink r:id="rId8" w:history="1">
                          <w:r>
                            <w:rPr>
                              <w:rStyle w:val="Hyperlink"/>
                              <w:rFonts w:ascii="Verdana" w:hAnsi="Verdana"/>
                            </w:rPr>
                            <w:t>http://www.cornwall.gov.uk/education-and-learning/cornwall-send-area-inspection</w:t>
                          </w:r>
                        </w:hyperlink>
                        <w:r>
                          <w:rPr>
                            <w:rFonts w:ascii="Verdana" w:hAnsi="Verdana"/>
                            <w:color w:val="505050"/>
                            <w:sz w:val="22"/>
                            <w:szCs w:val="22"/>
                            <w:lang w:eastAsia="en-US"/>
                          </w:rPr>
                          <w:t xml:space="preserve"> </w:t>
                        </w:r>
                      </w:p>
                      <w:p/>
                    </w:tc>
                    <w:tc>
                      <w:tcPr>
                        <w:tcW w:w="450" w:type="dxa"/>
                        <w:vAlign w:val="center"/>
                      </w:tcPr>
                      <w:p/>
                    </w:tc>
                  </w:tr>
                  <w:tr>
                    <w:trPr>
                      <w:trHeight w:val="600"/>
                      <w:tblCellSpacing w:w="0" w:type="dxa"/>
                    </w:trPr>
                    <w:tc>
                      <w:tcPr>
                        <w:tcW w:w="20" w:type="dxa"/>
                        <w:vAlign w:val="center"/>
                        <w:hideMark/>
                      </w:tcPr>
                      <w:p>
                        <w:pPr>
                          <w:rPr>
                            <w:sz w:val="24"/>
                            <w:szCs w:val="24"/>
                          </w:rPr>
                        </w:pPr>
                        <w:r>
                          <w:lastRenderedPageBreak/>
                          <w:t> </w:t>
                        </w:r>
                      </w:p>
                    </w:tc>
                    <w:tc>
                      <w:tcPr>
                        <w:tcW w:w="9130" w:type="dxa"/>
                        <w:vAlign w:val="center"/>
                        <w:hideMark/>
                      </w:tcPr>
                      <w:p>
                        <w:pPr>
                          <w:jc w:val="center"/>
                          <w:rPr>
                            <w:rFonts w:eastAsia="Times New Roman"/>
                          </w:rPr>
                        </w:pPr>
                        <w:bookmarkStart w:id="0" w:name="_GoBack"/>
                        <w:bookmarkEnd w:id="0"/>
                      </w:p>
                    </w:tc>
                    <w:tc>
                      <w:tcPr>
                        <w:tcW w:w="450" w:type="dxa"/>
                        <w:vAlign w:val="center"/>
                        <w:hideMark/>
                      </w:tcPr>
                      <w:p>
                        <w:pPr>
                          <w:rPr>
                            <w:sz w:val="24"/>
                            <w:szCs w:val="24"/>
                          </w:rPr>
                        </w:pPr>
                        <w:r>
                          <w:t> </w:t>
                        </w:r>
                      </w:p>
                    </w:tc>
                  </w:tr>
                  <w:tr>
                    <w:trPr>
                      <w:tblCellSpacing w:w="0" w:type="dxa"/>
                    </w:trPr>
                    <w:tc>
                      <w:tcPr>
                        <w:tcW w:w="20" w:type="dxa"/>
                        <w:vAlign w:val="center"/>
                        <w:hideMark/>
                      </w:tcPr>
                      <w:p>
                        <w:pPr>
                          <w:rPr>
                            <w:sz w:val="24"/>
                            <w:szCs w:val="24"/>
                          </w:rPr>
                        </w:pPr>
                        <w:r>
                          <w:t> </w:t>
                        </w:r>
                      </w:p>
                    </w:tc>
                    <w:tc>
                      <w:tcPr>
                        <w:tcW w:w="9130" w:type="dxa"/>
                        <w:hideMark/>
                      </w:tcPr>
                      <w:tbl>
                        <w:tblPr>
                          <w:tblW w:w="8700" w:type="dxa"/>
                          <w:tblCellSpacing w:w="0" w:type="dxa"/>
                          <w:tblCellMar>
                            <w:left w:w="0" w:type="dxa"/>
                            <w:right w:w="0" w:type="dxa"/>
                          </w:tblCellMar>
                          <w:tblLook w:val="04A0" w:firstRow="1" w:lastRow="0" w:firstColumn="1" w:lastColumn="0" w:noHBand="0" w:noVBand="1"/>
                        </w:tblPr>
                        <w:tblGrid>
                          <w:gridCol w:w="6150"/>
                          <w:gridCol w:w="450"/>
                          <w:gridCol w:w="2100"/>
                        </w:tblGrid>
                        <w:tr>
                          <w:trPr>
                            <w:tblCellSpacing w:w="0" w:type="dxa"/>
                          </w:trPr>
                          <w:tc>
                            <w:tcPr>
                              <w:tcW w:w="6150" w:type="dxa"/>
                              <w:hideMark/>
                            </w:tcPr>
                            <w:p>
                              <w:pPr>
                                <w:pStyle w:val="NormalWeb"/>
                                <w:spacing w:after="240" w:afterAutospacing="0"/>
                              </w:pPr>
                              <w:r>
                                <w:rPr>
                                  <w:rFonts w:ascii="Verdana" w:hAnsi="Verdana"/>
                                  <w:sz w:val="22"/>
                                  <w:szCs w:val="22"/>
                                </w:rPr>
                                <w:t xml:space="preserve"> </w:t>
                              </w:r>
                            </w:p>
                          </w:tc>
                          <w:tc>
                            <w:tcPr>
                              <w:tcW w:w="450" w:type="dxa"/>
                              <w:hideMark/>
                            </w:tcPr>
                            <w:p>
                              <w:pPr>
                                <w:rPr>
                                  <w:sz w:val="24"/>
                                  <w:szCs w:val="24"/>
                                </w:rPr>
                              </w:pPr>
                              <w:r>
                                <w:t> </w:t>
                              </w:r>
                            </w:p>
                          </w:tc>
                          <w:tc>
                            <w:tcPr>
                              <w:tcW w:w="2100" w:type="dxa"/>
                              <w:vAlign w:val="bottom"/>
                              <w:hideMark/>
                            </w:tcPr>
                            <w:p>
                              <w:pPr>
                                <w:jc w:val="right"/>
                                <w:rPr>
                                  <w:sz w:val="24"/>
                                  <w:szCs w:val="24"/>
                                </w:rPr>
                              </w:pPr>
                            </w:p>
                          </w:tc>
                        </w:tr>
                      </w:tbl>
                      <w:p>
                        <w:pPr>
                          <w:rPr>
                            <w:rFonts w:ascii="Times New Roman" w:eastAsia="Times New Roman" w:hAnsi="Times New Roman"/>
                            <w:sz w:val="20"/>
                            <w:szCs w:val="20"/>
                            <w:lang w:eastAsia="en-GB"/>
                          </w:rPr>
                        </w:pPr>
                      </w:p>
                    </w:tc>
                    <w:tc>
                      <w:tcPr>
                        <w:tcW w:w="450" w:type="dxa"/>
                        <w:vAlign w:val="center"/>
                        <w:hideMark/>
                      </w:tcPr>
                      <w:p>
                        <w:pPr>
                          <w:rPr>
                            <w:sz w:val="24"/>
                            <w:szCs w:val="24"/>
                          </w:rPr>
                        </w:pPr>
                        <w:r>
                          <w:t> </w:t>
                        </w:r>
                      </w:p>
                    </w:tc>
                  </w:tr>
                  <w:tr>
                    <w:trPr>
                      <w:trHeight w:val="300"/>
                      <w:tblCellSpacing w:w="0" w:type="dxa"/>
                    </w:trPr>
                    <w:tc>
                      <w:tcPr>
                        <w:tcW w:w="20" w:type="dxa"/>
                        <w:vAlign w:val="center"/>
                        <w:hideMark/>
                      </w:tcPr>
                      <w:p>
                        <w:pPr>
                          <w:rPr>
                            <w:sz w:val="24"/>
                            <w:szCs w:val="24"/>
                          </w:rPr>
                        </w:pPr>
                        <w:r>
                          <w:t> </w:t>
                        </w:r>
                      </w:p>
                    </w:tc>
                    <w:tc>
                      <w:tcPr>
                        <w:tcW w:w="9130" w:type="dxa"/>
                        <w:vAlign w:val="center"/>
                        <w:hideMark/>
                      </w:tcPr>
                      <w:p>
                        <w:pPr>
                          <w:rPr>
                            <w:sz w:val="24"/>
                            <w:szCs w:val="24"/>
                          </w:rPr>
                        </w:pPr>
                        <w:r>
                          <w:t> </w:t>
                        </w:r>
                      </w:p>
                    </w:tc>
                    <w:tc>
                      <w:tcPr>
                        <w:tcW w:w="450" w:type="dxa"/>
                        <w:vAlign w:val="center"/>
                        <w:hideMark/>
                      </w:tcPr>
                      <w:p>
                        <w:pPr>
                          <w:rPr>
                            <w:sz w:val="24"/>
                            <w:szCs w:val="24"/>
                          </w:rPr>
                        </w:pPr>
                        <w:r>
                          <w:t> </w:t>
                        </w:r>
                      </w:p>
                    </w:tc>
                  </w:tr>
                </w:tbl>
                <w:p>
                  <w:pPr>
                    <w:rPr>
                      <w:rFonts w:ascii="Times New Roman" w:eastAsia="Times New Roman" w:hAnsi="Times New Roman"/>
                      <w:sz w:val="20"/>
                      <w:szCs w:val="20"/>
                      <w:lang w:eastAsia="en-GB"/>
                    </w:rPr>
                  </w:pPr>
                </w:p>
              </w:tc>
            </w:tr>
          </w:tbl>
          <w:p>
            <w:pPr>
              <w:jc w:val="center"/>
              <w:rPr>
                <w:rFonts w:ascii="Times New Roman" w:eastAsia="Times New Roman" w:hAnsi="Times New Roman"/>
                <w:sz w:val="20"/>
                <w:szCs w:val="20"/>
                <w:lang w:eastAsia="en-GB"/>
              </w:rPr>
            </w:pPr>
          </w:p>
        </w:tc>
      </w:tr>
    </w:tbl>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6A5100-AEF8-45A6-A94B-1CD0838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Cambria" w:hAnsi="Cambria" w:cs="Times New Roman"/>
      <w:b/>
      <w:bCs/>
      <w:color w:val="4F81BD"/>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lang w:eastAsia="en-GB"/>
    </w:rPr>
  </w:style>
  <w:style w:type="paragraph" w:customStyle="1" w:styleId="bannersubtitle">
    <w:name w:val="banner_subtitle"/>
    <w:basedOn w:val="Normal"/>
    <w:uiPriority w:val="99"/>
    <w:semiHidden/>
    <w:pPr>
      <w:spacing w:before="100" w:beforeAutospacing="1" w:after="100" w:afterAutospacing="1"/>
    </w:pPr>
    <w:rPr>
      <w:rFonts w:ascii="Times New Roman" w:hAnsi="Times New Roman"/>
      <w:sz w:val="24"/>
      <w:szCs w:val="24"/>
      <w:lang w:eastAsia="en-GB"/>
    </w:rPr>
  </w:style>
  <w:style w:type="paragraph" w:customStyle="1" w:styleId="bannertitleedition">
    <w:name w:val="banner_titleedition"/>
    <w:basedOn w:val="Normal"/>
    <w:uiPriority w:val="99"/>
    <w:semiHidden/>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education-and-learning/cornwall-send-area-inspection" TargetMode="External"/><Relationship Id="rId3" Type="http://schemas.openxmlformats.org/officeDocument/2006/relationships/webSettings" Target="webSettings.xml"/><Relationship Id="rId7" Type="http://schemas.openxmlformats.org/officeDocument/2006/relationships/hyperlink" Target="mailto:tdoughty@cornwal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gif@01CFCDB0.BFEAD490"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2017-06-27T13:54:00Z</dcterms:created>
  <dcterms:modified xsi:type="dcterms:W3CDTF">2017-06-27T13:56:00Z</dcterms:modified>
</cp:coreProperties>
</file>