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>
      <w:pPr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-120015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1E1627" w:rsidRPr="007048E8" w:rsidRDefault="005B054F">
      <w:pPr>
        <w:rPr>
          <w:b/>
          <w:sz w:val="32"/>
          <w:szCs w:val="32"/>
        </w:rPr>
      </w:pPr>
      <w:r w:rsidRPr="007048E8">
        <w:rPr>
          <w:b/>
          <w:sz w:val="32"/>
          <w:szCs w:val="32"/>
        </w:rPr>
        <w:t xml:space="preserve">Pupil Premium Report </w:t>
      </w:r>
      <w:r w:rsidR="00464E1A">
        <w:rPr>
          <w:b/>
          <w:sz w:val="32"/>
          <w:szCs w:val="32"/>
        </w:rPr>
        <w:t xml:space="preserve">– </w:t>
      </w:r>
      <w:r w:rsidR="0068327A">
        <w:rPr>
          <w:b/>
          <w:sz w:val="32"/>
          <w:szCs w:val="32"/>
        </w:rPr>
        <w:t>Ladock</w:t>
      </w:r>
    </w:p>
    <w:p w:rsidR="005B054F" w:rsidRPr="00A80E7B" w:rsidRDefault="005B054F">
      <w:pPr>
        <w:rPr>
          <w:b/>
          <w:sz w:val="28"/>
          <w:szCs w:val="28"/>
        </w:rPr>
      </w:pPr>
      <w:r w:rsidRPr="00A80E7B">
        <w:rPr>
          <w:b/>
          <w:sz w:val="28"/>
          <w:szCs w:val="28"/>
        </w:rPr>
        <w:t>Report</w:t>
      </w:r>
      <w:r w:rsidR="00A80E7B" w:rsidRPr="00A80E7B">
        <w:rPr>
          <w:b/>
          <w:sz w:val="28"/>
          <w:szCs w:val="28"/>
        </w:rPr>
        <w:t xml:space="preserve"> Period</w:t>
      </w:r>
      <w:r w:rsidRPr="00A80E7B">
        <w:rPr>
          <w:b/>
          <w:sz w:val="28"/>
          <w:szCs w:val="28"/>
        </w:rPr>
        <w:t xml:space="preserve"> 1</w:t>
      </w:r>
      <w:r w:rsidRPr="00A80E7B">
        <w:rPr>
          <w:b/>
          <w:sz w:val="28"/>
          <w:szCs w:val="28"/>
          <w:vertAlign w:val="superscript"/>
        </w:rPr>
        <w:t>st</w:t>
      </w:r>
      <w:r w:rsidRPr="00A80E7B">
        <w:rPr>
          <w:b/>
          <w:sz w:val="28"/>
          <w:szCs w:val="28"/>
        </w:rPr>
        <w:t xml:space="preserve"> April </w:t>
      </w:r>
      <w:r w:rsidR="007048E8" w:rsidRPr="00A80E7B">
        <w:rPr>
          <w:b/>
          <w:sz w:val="28"/>
          <w:szCs w:val="28"/>
        </w:rPr>
        <w:t>20</w:t>
      </w:r>
      <w:r w:rsidRPr="00A80E7B">
        <w:rPr>
          <w:b/>
          <w:sz w:val="28"/>
          <w:szCs w:val="28"/>
        </w:rPr>
        <w:t>13- 30</w:t>
      </w:r>
      <w:r w:rsidRPr="00A80E7B">
        <w:rPr>
          <w:b/>
          <w:sz w:val="28"/>
          <w:szCs w:val="28"/>
          <w:vertAlign w:val="superscript"/>
        </w:rPr>
        <w:t>th</w:t>
      </w:r>
      <w:r w:rsidRPr="00A80E7B">
        <w:rPr>
          <w:b/>
          <w:sz w:val="28"/>
          <w:szCs w:val="28"/>
        </w:rPr>
        <w:t xml:space="preserve"> November </w:t>
      </w:r>
      <w:r w:rsidR="007048E8" w:rsidRPr="00A80E7B">
        <w:rPr>
          <w:b/>
          <w:sz w:val="28"/>
          <w:szCs w:val="28"/>
        </w:rPr>
        <w:t>20</w:t>
      </w:r>
      <w:r w:rsidRPr="00A80E7B">
        <w:rPr>
          <w:b/>
          <w:sz w:val="28"/>
          <w:szCs w:val="28"/>
        </w:rPr>
        <w:t>13</w:t>
      </w:r>
    </w:p>
    <w:p w:rsidR="00793201" w:rsidRPr="00A80E7B" w:rsidRDefault="00CC012F" w:rsidP="00793201">
      <w:pPr>
        <w:rPr>
          <w:b/>
          <w:sz w:val="28"/>
          <w:szCs w:val="28"/>
        </w:rPr>
      </w:pPr>
      <w:r w:rsidRPr="00CC012F">
        <w:rPr>
          <w:b/>
          <w:sz w:val="28"/>
          <w:szCs w:val="28"/>
        </w:rPr>
        <w:t xml:space="preserve">This funding was received </w:t>
      </w:r>
      <w:r>
        <w:rPr>
          <w:b/>
          <w:sz w:val="28"/>
          <w:szCs w:val="28"/>
        </w:rPr>
        <w:t>before</w:t>
      </w:r>
      <w:r w:rsidRPr="00CC012F">
        <w:rPr>
          <w:b/>
          <w:sz w:val="28"/>
          <w:szCs w:val="28"/>
        </w:rPr>
        <w:t xml:space="preserve"> conversion to a Multi-Academy Trust on 1st December 2013 during the grant period 2013/2014. </w:t>
      </w:r>
    </w:p>
    <w:p w:rsidR="00793201" w:rsidRPr="00A80E7B" w:rsidRDefault="00793201" w:rsidP="00793201">
      <w:pPr>
        <w:pStyle w:val="Default"/>
        <w:spacing w:after="24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PPG provides funding for two policies: </w:t>
      </w:r>
    </w:p>
    <w:p w:rsidR="00793201" w:rsidRPr="00A80E7B" w:rsidRDefault="00793201" w:rsidP="00793201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Raising the attainment of disadvantaged pupils and closing the gap with their peers; and </w:t>
      </w:r>
    </w:p>
    <w:p w:rsidR="00793201" w:rsidRDefault="00793201" w:rsidP="00793201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Supporting children and young people with parents in the regular armed forces </w:t>
      </w:r>
    </w:p>
    <w:p w:rsidR="00793201" w:rsidRDefault="00793201" w:rsidP="00793201">
      <w:pPr>
        <w:pStyle w:val="Default"/>
        <w:ind w:left="1440" w:hanging="360"/>
        <w:rPr>
          <w:rFonts w:asciiTheme="minorHAnsi" w:hAnsiTheme="minorHAnsi"/>
        </w:rPr>
      </w:pPr>
    </w:p>
    <w:p w:rsidR="00793201" w:rsidRPr="00A80E7B" w:rsidRDefault="00793201" w:rsidP="00793201">
      <w:pPr>
        <w:pStyle w:val="Default"/>
        <w:ind w:left="1440" w:hanging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793201" w:rsidTr="003C1BF4">
        <w:tc>
          <w:tcPr>
            <w:tcW w:w="4621" w:type="dxa"/>
          </w:tcPr>
          <w:p w:rsidR="00793201" w:rsidRDefault="00793201" w:rsidP="003C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Funding allocations for April 2013 – April 2014</w:t>
            </w:r>
          </w:p>
        </w:tc>
        <w:tc>
          <w:tcPr>
            <w:tcW w:w="4621" w:type="dxa"/>
          </w:tcPr>
          <w:p w:rsidR="00793201" w:rsidRDefault="00793201" w:rsidP="003C1BF4">
            <w:pPr>
              <w:rPr>
                <w:b/>
                <w:sz w:val="32"/>
                <w:szCs w:val="32"/>
              </w:rPr>
            </w:pPr>
          </w:p>
        </w:tc>
      </w:tr>
      <w:tr w:rsidR="00793201" w:rsidRPr="00540F09" w:rsidTr="003C1BF4">
        <w:tc>
          <w:tcPr>
            <w:tcW w:w="4621" w:type="dxa"/>
          </w:tcPr>
          <w:p w:rsidR="00793201" w:rsidRPr="00540F09" w:rsidRDefault="00793201" w:rsidP="003C1BF4">
            <w:pPr>
              <w:rPr>
                <w:b/>
                <w:sz w:val="24"/>
                <w:szCs w:val="24"/>
              </w:rPr>
            </w:pPr>
            <w:r w:rsidRPr="00540F09">
              <w:rPr>
                <w:sz w:val="24"/>
                <w:szCs w:val="24"/>
              </w:rPr>
              <w:t>Pupils recorded as Ever 6 FSM</w:t>
            </w:r>
          </w:p>
        </w:tc>
        <w:tc>
          <w:tcPr>
            <w:tcW w:w="4621" w:type="dxa"/>
          </w:tcPr>
          <w:p w:rsidR="00793201" w:rsidRPr="00540F09" w:rsidRDefault="00793201" w:rsidP="003C1BF4">
            <w:pPr>
              <w:pStyle w:val="Default"/>
              <w:rPr>
                <w:rFonts w:asciiTheme="minorHAnsi" w:hAnsiTheme="minorHAnsi"/>
              </w:rPr>
            </w:pPr>
            <w:r w:rsidRPr="00540F09">
              <w:rPr>
                <w:rFonts w:asciiTheme="minorHAnsi" w:hAnsiTheme="minorHAnsi"/>
              </w:rPr>
              <w:t xml:space="preserve">£900 </w:t>
            </w:r>
          </w:p>
        </w:tc>
      </w:tr>
      <w:tr w:rsidR="00793201" w:rsidRPr="00540F09" w:rsidTr="003C1BF4">
        <w:tc>
          <w:tcPr>
            <w:tcW w:w="4621" w:type="dxa"/>
          </w:tcPr>
          <w:p w:rsidR="00793201" w:rsidRPr="00540F09" w:rsidRDefault="00793201" w:rsidP="003C1BF4">
            <w:pPr>
              <w:rPr>
                <w:b/>
                <w:sz w:val="24"/>
                <w:szCs w:val="24"/>
              </w:rPr>
            </w:pPr>
            <w:r w:rsidRPr="00540F09">
              <w:rPr>
                <w:sz w:val="24"/>
                <w:szCs w:val="24"/>
              </w:rPr>
              <w:t>Children Looked After</w:t>
            </w:r>
          </w:p>
        </w:tc>
        <w:tc>
          <w:tcPr>
            <w:tcW w:w="4621" w:type="dxa"/>
          </w:tcPr>
          <w:p w:rsidR="00793201" w:rsidRPr="00540F09" w:rsidRDefault="00793201" w:rsidP="003C1BF4">
            <w:pPr>
              <w:pStyle w:val="Default"/>
              <w:rPr>
                <w:rFonts w:asciiTheme="minorHAnsi" w:hAnsiTheme="minorHAnsi"/>
              </w:rPr>
            </w:pPr>
            <w:r w:rsidRPr="00540F09">
              <w:rPr>
                <w:rFonts w:asciiTheme="minorHAnsi" w:hAnsiTheme="minorHAnsi"/>
              </w:rPr>
              <w:t xml:space="preserve">£900 </w:t>
            </w:r>
          </w:p>
        </w:tc>
      </w:tr>
      <w:tr w:rsidR="00793201" w:rsidRPr="00540F09" w:rsidTr="003C1BF4">
        <w:tc>
          <w:tcPr>
            <w:tcW w:w="4621" w:type="dxa"/>
          </w:tcPr>
          <w:p w:rsidR="00793201" w:rsidRPr="00540F09" w:rsidRDefault="00793201" w:rsidP="003C1BF4">
            <w:pPr>
              <w:rPr>
                <w:b/>
                <w:sz w:val="24"/>
                <w:szCs w:val="24"/>
              </w:rPr>
            </w:pPr>
            <w:r w:rsidRPr="00540F09">
              <w:rPr>
                <w:sz w:val="24"/>
                <w:szCs w:val="24"/>
              </w:rPr>
              <w:t>Service Children</w:t>
            </w:r>
          </w:p>
        </w:tc>
        <w:tc>
          <w:tcPr>
            <w:tcW w:w="4621" w:type="dxa"/>
          </w:tcPr>
          <w:p w:rsidR="00793201" w:rsidRPr="00540F09" w:rsidRDefault="00793201" w:rsidP="003C1BF4">
            <w:pPr>
              <w:rPr>
                <w:b/>
                <w:sz w:val="24"/>
                <w:szCs w:val="24"/>
              </w:rPr>
            </w:pPr>
            <w:r w:rsidRPr="00540F09">
              <w:rPr>
                <w:sz w:val="24"/>
                <w:szCs w:val="24"/>
              </w:rPr>
              <w:t>£300</w:t>
            </w:r>
          </w:p>
        </w:tc>
      </w:tr>
    </w:tbl>
    <w:p w:rsidR="00793201" w:rsidRPr="00540F09" w:rsidRDefault="00793201" w:rsidP="00793201">
      <w:pPr>
        <w:rPr>
          <w:b/>
          <w:sz w:val="24"/>
          <w:szCs w:val="24"/>
        </w:rPr>
      </w:pPr>
    </w:p>
    <w:p w:rsidR="00793201" w:rsidRDefault="00793201" w:rsidP="007932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2013 - April 2014 Allocation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93201" w:rsidTr="003C1BF4">
        <w:tc>
          <w:tcPr>
            <w:tcW w:w="4621" w:type="dxa"/>
          </w:tcPr>
          <w:p w:rsidR="00793201" w:rsidRPr="00AF66B6" w:rsidRDefault="00793201" w:rsidP="003C1BF4">
            <w:pPr>
              <w:rPr>
                <w:sz w:val="24"/>
                <w:szCs w:val="24"/>
              </w:rPr>
            </w:pPr>
            <w:r w:rsidRPr="00AF66B6">
              <w:rPr>
                <w:sz w:val="24"/>
                <w:szCs w:val="24"/>
              </w:rPr>
              <w:t>Number of children on roll</w:t>
            </w:r>
          </w:p>
        </w:tc>
        <w:tc>
          <w:tcPr>
            <w:tcW w:w="4621" w:type="dxa"/>
          </w:tcPr>
          <w:p w:rsidR="00793201" w:rsidRPr="00AF66B6" w:rsidRDefault="0068327A" w:rsidP="003C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93201" w:rsidTr="003C1BF4">
        <w:tc>
          <w:tcPr>
            <w:tcW w:w="4621" w:type="dxa"/>
          </w:tcPr>
          <w:p w:rsidR="00793201" w:rsidRPr="00AF66B6" w:rsidRDefault="00793201" w:rsidP="003C1BF4">
            <w:pPr>
              <w:rPr>
                <w:sz w:val="24"/>
                <w:szCs w:val="24"/>
              </w:rPr>
            </w:pPr>
            <w:r w:rsidRPr="00AF66B6">
              <w:rPr>
                <w:sz w:val="24"/>
                <w:szCs w:val="24"/>
              </w:rPr>
              <w:t>Number of children eligible</w:t>
            </w:r>
          </w:p>
        </w:tc>
        <w:tc>
          <w:tcPr>
            <w:tcW w:w="4621" w:type="dxa"/>
          </w:tcPr>
          <w:p w:rsidR="00793201" w:rsidRPr="00AF66B6" w:rsidRDefault="0068327A" w:rsidP="003C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93201" w:rsidTr="003C1BF4">
        <w:tc>
          <w:tcPr>
            <w:tcW w:w="4621" w:type="dxa"/>
          </w:tcPr>
          <w:p w:rsidR="00793201" w:rsidRPr="00AF66B6" w:rsidRDefault="00793201" w:rsidP="003C1BF4">
            <w:pPr>
              <w:rPr>
                <w:sz w:val="24"/>
                <w:szCs w:val="24"/>
              </w:rPr>
            </w:pPr>
            <w:r w:rsidRPr="00AF66B6">
              <w:rPr>
                <w:sz w:val="24"/>
                <w:szCs w:val="24"/>
              </w:rPr>
              <w:t>Number of children as %</w:t>
            </w:r>
          </w:p>
        </w:tc>
        <w:tc>
          <w:tcPr>
            <w:tcW w:w="4621" w:type="dxa"/>
          </w:tcPr>
          <w:p w:rsidR="00793201" w:rsidRPr="00AF66B6" w:rsidRDefault="0068327A" w:rsidP="003C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  <w:r w:rsidR="00147307">
              <w:rPr>
                <w:sz w:val="24"/>
                <w:szCs w:val="24"/>
              </w:rPr>
              <w:t>%</w:t>
            </w:r>
          </w:p>
        </w:tc>
      </w:tr>
      <w:tr w:rsidR="00793201" w:rsidTr="003C1BF4">
        <w:tc>
          <w:tcPr>
            <w:tcW w:w="4621" w:type="dxa"/>
          </w:tcPr>
          <w:p w:rsidR="00793201" w:rsidRPr="00AF66B6" w:rsidRDefault="00793201" w:rsidP="003C1BF4">
            <w:pPr>
              <w:rPr>
                <w:sz w:val="24"/>
                <w:szCs w:val="24"/>
              </w:rPr>
            </w:pPr>
            <w:r w:rsidRPr="00AF66B6">
              <w:rPr>
                <w:sz w:val="24"/>
                <w:szCs w:val="24"/>
              </w:rPr>
              <w:t>Amount of funding allocated</w:t>
            </w:r>
          </w:p>
        </w:tc>
        <w:tc>
          <w:tcPr>
            <w:tcW w:w="4621" w:type="dxa"/>
          </w:tcPr>
          <w:p w:rsidR="00793201" w:rsidRPr="00AF66B6" w:rsidRDefault="0068327A" w:rsidP="0068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£15248</w:t>
            </w:r>
          </w:p>
        </w:tc>
      </w:tr>
    </w:tbl>
    <w:p w:rsidR="00793201" w:rsidRDefault="00793201" w:rsidP="00793201">
      <w:pPr>
        <w:rPr>
          <w:sz w:val="32"/>
          <w:szCs w:val="3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1276"/>
        <w:gridCol w:w="3260"/>
      </w:tblGrid>
      <w:tr w:rsidR="00793201" w:rsidTr="00FB6494">
        <w:tc>
          <w:tcPr>
            <w:tcW w:w="10206" w:type="dxa"/>
            <w:gridSpan w:val="3"/>
            <w:shd w:val="clear" w:color="auto" w:fill="D9D9D9" w:themeFill="background1" w:themeFillShade="D9"/>
          </w:tcPr>
          <w:p w:rsidR="00793201" w:rsidRDefault="00793201" w:rsidP="003C1B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Number of Pupils and Pupil Premium Grant (PPG) Received </w:t>
            </w:r>
          </w:p>
          <w:p w:rsidR="00793201" w:rsidRDefault="00793201" w:rsidP="007932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April 2013- 30</w:t>
            </w:r>
            <w:r w:rsidRPr="0079320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November 2013</w:t>
            </w:r>
          </w:p>
        </w:tc>
      </w:tr>
      <w:tr w:rsidR="00793201" w:rsidTr="00FB6494">
        <w:tc>
          <w:tcPr>
            <w:tcW w:w="6946" w:type="dxa"/>
            <w:gridSpan w:val="2"/>
          </w:tcPr>
          <w:p w:rsidR="00793201" w:rsidRDefault="00793201" w:rsidP="003C1B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amount of funding received in the period </w:t>
            </w:r>
          </w:p>
        </w:tc>
        <w:tc>
          <w:tcPr>
            <w:tcW w:w="3260" w:type="dxa"/>
          </w:tcPr>
          <w:p w:rsidR="00793201" w:rsidRDefault="00793201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8327A">
              <w:rPr>
                <w:sz w:val="32"/>
                <w:szCs w:val="32"/>
              </w:rPr>
              <w:t>11250</w:t>
            </w:r>
          </w:p>
        </w:tc>
      </w:tr>
      <w:tr w:rsidR="00793201" w:rsidTr="00FB6494">
        <w:tc>
          <w:tcPr>
            <w:tcW w:w="6946" w:type="dxa"/>
            <w:gridSpan w:val="2"/>
          </w:tcPr>
          <w:p w:rsidR="00793201" w:rsidRPr="005B054F" w:rsidRDefault="00793201" w:rsidP="003C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amount of PPG received 2013-2014</w:t>
            </w:r>
          </w:p>
        </w:tc>
        <w:tc>
          <w:tcPr>
            <w:tcW w:w="3260" w:type="dxa"/>
          </w:tcPr>
          <w:p w:rsidR="00793201" w:rsidRDefault="00793201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8327A">
              <w:rPr>
                <w:sz w:val="32"/>
                <w:szCs w:val="32"/>
              </w:rPr>
              <w:t>15848</w:t>
            </w:r>
          </w:p>
        </w:tc>
      </w:tr>
      <w:tr w:rsidR="009952E0" w:rsidTr="00FB6494">
        <w:tc>
          <w:tcPr>
            <w:tcW w:w="6946" w:type="dxa"/>
            <w:gridSpan w:val="2"/>
          </w:tcPr>
          <w:p w:rsidR="009952E0" w:rsidRPr="009952E0" w:rsidRDefault="009952E0" w:rsidP="003C1BF4">
            <w:pPr>
              <w:rPr>
                <w:sz w:val="32"/>
                <w:szCs w:val="32"/>
              </w:rPr>
            </w:pPr>
            <w:r w:rsidRPr="009952E0">
              <w:rPr>
                <w:sz w:val="32"/>
                <w:szCs w:val="32"/>
              </w:rPr>
              <w:t>Total amount of funding spent in this period</w:t>
            </w:r>
          </w:p>
        </w:tc>
        <w:tc>
          <w:tcPr>
            <w:tcW w:w="3260" w:type="dxa"/>
          </w:tcPr>
          <w:p w:rsidR="009952E0" w:rsidRDefault="009952E0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8327A">
              <w:rPr>
                <w:sz w:val="32"/>
                <w:szCs w:val="32"/>
              </w:rPr>
              <w:t>14315</w:t>
            </w:r>
          </w:p>
        </w:tc>
      </w:tr>
      <w:tr w:rsidR="00793201" w:rsidTr="00FB6494">
        <w:tc>
          <w:tcPr>
            <w:tcW w:w="5670" w:type="dxa"/>
            <w:shd w:val="clear" w:color="auto" w:fill="D9D9D9" w:themeFill="background1" w:themeFillShade="D9"/>
          </w:tcPr>
          <w:p w:rsidR="00793201" w:rsidRDefault="00793201" w:rsidP="003C1B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Nature of Support 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December 13- 31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August 14 and allocation of PPG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3201" w:rsidRDefault="00793201" w:rsidP="003C1B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93201" w:rsidRDefault="00793201" w:rsidP="003C1B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will the effects of this support be measured?</w:t>
            </w:r>
          </w:p>
        </w:tc>
      </w:tr>
      <w:tr w:rsidR="00793201" w:rsidTr="00FB6494">
        <w:tc>
          <w:tcPr>
            <w:tcW w:w="5670" w:type="dxa"/>
          </w:tcPr>
          <w:p w:rsidR="0068327A" w:rsidRPr="0068327A" w:rsidRDefault="0068327A" w:rsidP="0068327A">
            <w:pPr>
              <w:rPr>
                <w:sz w:val="32"/>
                <w:szCs w:val="32"/>
              </w:rPr>
            </w:pPr>
            <w:r w:rsidRPr="0068327A">
              <w:rPr>
                <w:sz w:val="32"/>
                <w:szCs w:val="32"/>
              </w:rPr>
              <w:tab/>
              <w:t xml:space="preserve">Read, Write, </w:t>
            </w:r>
            <w:proofErr w:type="spellStart"/>
            <w:r w:rsidRPr="0068327A">
              <w:rPr>
                <w:sz w:val="32"/>
                <w:szCs w:val="32"/>
              </w:rPr>
              <w:t>Inc</w:t>
            </w:r>
            <w:proofErr w:type="spellEnd"/>
            <w:r w:rsidRPr="0068327A">
              <w:rPr>
                <w:sz w:val="32"/>
                <w:szCs w:val="32"/>
              </w:rPr>
              <w:t xml:space="preserve"> Resources </w:t>
            </w:r>
          </w:p>
          <w:p w:rsidR="0068327A" w:rsidRPr="0068327A" w:rsidRDefault="0068327A" w:rsidP="0068327A">
            <w:pPr>
              <w:rPr>
                <w:sz w:val="32"/>
                <w:szCs w:val="32"/>
              </w:rPr>
            </w:pPr>
            <w:r w:rsidRPr="0068327A">
              <w:rPr>
                <w:sz w:val="32"/>
                <w:szCs w:val="32"/>
              </w:rPr>
              <w:tab/>
              <w:t xml:space="preserve"> </w:t>
            </w:r>
          </w:p>
          <w:p w:rsidR="00793201" w:rsidRDefault="0068327A" w:rsidP="0068327A">
            <w:pPr>
              <w:rPr>
                <w:sz w:val="32"/>
                <w:szCs w:val="32"/>
              </w:rPr>
            </w:pPr>
            <w:r w:rsidRPr="0068327A">
              <w:rPr>
                <w:sz w:val="32"/>
                <w:szCs w:val="32"/>
              </w:rPr>
              <w:lastRenderedPageBreak/>
              <w:tab/>
            </w:r>
          </w:p>
        </w:tc>
        <w:tc>
          <w:tcPr>
            <w:tcW w:w="1276" w:type="dxa"/>
          </w:tcPr>
          <w:p w:rsidR="00793201" w:rsidRDefault="00793201" w:rsidP="009952E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93201" w:rsidRPr="00FB6494" w:rsidRDefault="00FB6494" w:rsidP="003C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Read, Write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was adopted as the school approach to phonic </w:t>
            </w:r>
            <w:r>
              <w:rPr>
                <w:sz w:val="28"/>
                <w:szCs w:val="28"/>
              </w:rPr>
              <w:lastRenderedPageBreak/>
              <w:t xml:space="preserve">teaching. As a result, </w:t>
            </w:r>
            <w:proofErr w:type="gramStart"/>
            <w:r>
              <w:rPr>
                <w:sz w:val="28"/>
                <w:szCs w:val="28"/>
              </w:rPr>
              <w:t>phonic  test</w:t>
            </w:r>
            <w:proofErr w:type="gramEnd"/>
            <w:r>
              <w:rPr>
                <w:sz w:val="28"/>
                <w:szCs w:val="28"/>
              </w:rPr>
              <w:t xml:space="preserve"> results improved from42.9 % to 84.6%  meeting the required level from 2012 to 2013. In 2014, 66.7% met the required level. All Pupil premium children have met the required level.</w:t>
            </w:r>
          </w:p>
        </w:tc>
      </w:tr>
      <w:tr w:rsidR="009952E0" w:rsidTr="00FB6494">
        <w:tc>
          <w:tcPr>
            <w:tcW w:w="5670" w:type="dxa"/>
          </w:tcPr>
          <w:p w:rsidR="009952E0" w:rsidRPr="009952E0" w:rsidRDefault="0068327A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PSA</w:t>
            </w:r>
          </w:p>
        </w:tc>
        <w:tc>
          <w:tcPr>
            <w:tcW w:w="1276" w:type="dxa"/>
          </w:tcPr>
          <w:p w:rsidR="009952E0" w:rsidRPr="009952E0" w:rsidRDefault="0068327A" w:rsidP="00995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Pr="0068327A">
              <w:rPr>
                <w:sz w:val="32"/>
                <w:szCs w:val="32"/>
              </w:rPr>
              <w:t>870</w:t>
            </w:r>
          </w:p>
        </w:tc>
        <w:tc>
          <w:tcPr>
            <w:tcW w:w="3260" w:type="dxa"/>
          </w:tcPr>
          <w:p w:rsidR="009952E0" w:rsidRDefault="00FB6494" w:rsidP="003C1BF4">
            <w:pPr>
              <w:rPr>
                <w:sz w:val="32"/>
                <w:szCs w:val="32"/>
              </w:rPr>
            </w:pPr>
            <w:r w:rsidRPr="00E47D7B">
              <w:rPr>
                <w:sz w:val="28"/>
                <w:szCs w:val="28"/>
              </w:rPr>
              <w:t xml:space="preserve">The one Pupil premium child who worked with the PSA was able to access learning more effectively and developed a more positive attitude to learning. </w:t>
            </w:r>
            <w:r>
              <w:rPr>
                <w:sz w:val="28"/>
                <w:szCs w:val="28"/>
              </w:rPr>
              <w:t xml:space="preserve">This child made above average progress in writing. </w:t>
            </w:r>
            <w:r w:rsidRPr="00E47D7B">
              <w:rPr>
                <w:sz w:val="28"/>
                <w:szCs w:val="28"/>
              </w:rPr>
              <w:t>There were also other children that the PSA worked with who improved their behaviour which im</w:t>
            </w:r>
            <w:r>
              <w:rPr>
                <w:sz w:val="28"/>
                <w:szCs w:val="28"/>
              </w:rPr>
              <w:t>pacted on the learning environmen</w:t>
            </w:r>
            <w:r w:rsidRPr="00E47D7B">
              <w:rPr>
                <w:sz w:val="28"/>
                <w:szCs w:val="28"/>
              </w:rPr>
              <w:t>t of the whole class.</w:t>
            </w:r>
          </w:p>
          <w:p w:rsidR="000F67EB" w:rsidRDefault="000F67EB" w:rsidP="003C1BF4">
            <w:pPr>
              <w:rPr>
                <w:sz w:val="32"/>
                <w:szCs w:val="32"/>
              </w:rPr>
            </w:pPr>
          </w:p>
          <w:p w:rsidR="009952E0" w:rsidRDefault="009952E0" w:rsidP="003C1BF4">
            <w:pPr>
              <w:rPr>
                <w:sz w:val="32"/>
                <w:szCs w:val="32"/>
              </w:rPr>
            </w:pPr>
          </w:p>
          <w:p w:rsidR="009952E0" w:rsidRPr="009952E0" w:rsidRDefault="009952E0" w:rsidP="003C1BF4">
            <w:pPr>
              <w:rPr>
                <w:sz w:val="32"/>
                <w:szCs w:val="32"/>
              </w:rPr>
            </w:pPr>
          </w:p>
        </w:tc>
      </w:tr>
      <w:tr w:rsidR="009952E0" w:rsidTr="00FB6494">
        <w:tc>
          <w:tcPr>
            <w:tcW w:w="5670" w:type="dxa"/>
          </w:tcPr>
          <w:p w:rsidR="009952E0" w:rsidRPr="009952E0" w:rsidRDefault="0068327A" w:rsidP="003C1BF4">
            <w:pPr>
              <w:rPr>
                <w:sz w:val="32"/>
                <w:szCs w:val="32"/>
              </w:rPr>
            </w:pPr>
            <w:r w:rsidRPr="0068327A">
              <w:rPr>
                <w:sz w:val="32"/>
                <w:szCs w:val="32"/>
              </w:rPr>
              <w:t>Forest School</w:t>
            </w:r>
          </w:p>
        </w:tc>
        <w:tc>
          <w:tcPr>
            <w:tcW w:w="1276" w:type="dxa"/>
          </w:tcPr>
          <w:p w:rsidR="009952E0" w:rsidRPr="009952E0" w:rsidRDefault="009952E0" w:rsidP="006D2AC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FB6494" w:rsidRDefault="00FB6494" w:rsidP="00F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Schools involved one year one Pupil Premium child who reached above average levels of attainment in reading, writing and maths and made expected progress in all three areas.</w:t>
            </w:r>
          </w:p>
          <w:p w:rsidR="00823DB5" w:rsidRPr="009952E0" w:rsidRDefault="00823DB5" w:rsidP="003C1BF4">
            <w:pPr>
              <w:rPr>
                <w:sz w:val="32"/>
                <w:szCs w:val="32"/>
              </w:rPr>
            </w:pPr>
          </w:p>
        </w:tc>
      </w:tr>
      <w:tr w:rsidR="00AF66B6" w:rsidTr="00FB6494">
        <w:tc>
          <w:tcPr>
            <w:tcW w:w="5670" w:type="dxa"/>
          </w:tcPr>
          <w:p w:rsidR="00AF66B6" w:rsidRPr="00AF66B6" w:rsidRDefault="00AF66B6" w:rsidP="003C1BF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66B6" w:rsidRPr="00AF66B6" w:rsidRDefault="00AF66B6" w:rsidP="00AF66B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F66B6" w:rsidRDefault="00AF66B6" w:rsidP="003C1BF4">
            <w:pPr>
              <w:rPr>
                <w:sz w:val="32"/>
                <w:szCs w:val="32"/>
              </w:rPr>
            </w:pPr>
          </w:p>
        </w:tc>
      </w:tr>
      <w:tr w:rsidR="009952E0" w:rsidTr="00FB6494">
        <w:tc>
          <w:tcPr>
            <w:tcW w:w="5670" w:type="dxa"/>
            <w:shd w:val="clear" w:color="auto" w:fill="D9D9D9" w:themeFill="background1" w:themeFillShade="D9"/>
          </w:tcPr>
          <w:p w:rsidR="009952E0" w:rsidRPr="009952E0" w:rsidRDefault="009952E0" w:rsidP="003C1BF4">
            <w:pPr>
              <w:rPr>
                <w:sz w:val="32"/>
                <w:szCs w:val="32"/>
              </w:rPr>
            </w:pPr>
            <w:r w:rsidRPr="009952E0">
              <w:rPr>
                <w:sz w:val="32"/>
                <w:szCs w:val="32"/>
              </w:rPr>
              <w:t>Total Expenditure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2E0" w:rsidRDefault="009952E0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8327A">
              <w:rPr>
                <w:sz w:val="32"/>
                <w:szCs w:val="32"/>
              </w:rPr>
              <w:t>14315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952E0" w:rsidRDefault="009952E0" w:rsidP="003C1BF4">
            <w:pPr>
              <w:rPr>
                <w:sz w:val="32"/>
                <w:szCs w:val="32"/>
              </w:rPr>
            </w:pPr>
          </w:p>
        </w:tc>
      </w:tr>
      <w:tr w:rsidR="009952E0" w:rsidTr="00FB6494">
        <w:tc>
          <w:tcPr>
            <w:tcW w:w="5670" w:type="dxa"/>
            <w:shd w:val="clear" w:color="auto" w:fill="auto"/>
          </w:tcPr>
          <w:p w:rsidR="009952E0" w:rsidRPr="009952E0" w:rsidRDefault="009952E0" w:rsidP="003C1BF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2E0" w:rsidRDefault="009952E0" w:rsidP="009952E0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9952E0" w:rsidRDefault="009952E0" w:rsidP="003C1BF4">
            <w:pPr>
              <w:rPr>
                <w:sz w:val="32"/>
                <w:szCs w:val="32"/>
              </w:rPr>
            </w:pPr>
          </w:p>
        </w:tc>
      </w:tr>
      <w:tr w:rsidR="009952E0" w:rsidTr="00FB6494">
        <w:tc>
          <w:tcPr>
            <w:tcW w:w="5670" w:type="dxa"/>
            <w:shd w:val="clear" w:color="auto" w:fill="D9D9D9" w:themeFill="background1" w:themeFillShade="D9"/>
          </w:tcPr>
          <w:p w:rsidR="009952E0" w:rsidRPr="009952E0" w:rsidRDefault="009952E0" w:rsidP="003C1BF4">
            <w:pPr>
              <w:rPr>
                <w:sz w:val="32"/>
                <w:szCs w:val="32"/>
              </w:rPr>
            </w:pPr>
            <w:r w:rsidRPr="009952E0">
              <w:rPr>
                <w:sz w:val="32"/>
                <w:szCs w:val="32"/>
              </w:rPr>
              <w:t>Total amount carried forward to next period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2E0" w:rsidRDefault="009952E0" w:rsidP="0068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8327A">
              <w:rPr>
                <w:sz w:val="32"/>
                <w:szCs w:val="32"/>
              </w:rPr>
              <w:t>1533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952E0" w:rsidRDefault="009952E0" w:rsidP="003C1BF4">
            <w:pPr>
              <w:rPr>
                <w:sz w:val="32"/>
                <w:szCs w:val="32"/>
              </w:rPr>
            </w:pPr>
          </w:p>
        </w:tc>
      </w:tr>
    </w:tbl>
    <w:p w:rsidR="009952E0" w:rsidRPr="009952E0" w:rsidRDefault="009952E0" w:rsidP="009952E0">
      <w:pPr>
        <w:rPr>
          <w:b/>
          <w:sz w:val="32"/>
          <w:szCs w:val="32"/>
        </w:rPr>
      </w:pPr>
      <w:r w:rsidRPr="009952E0">
        <w:rPr>
          <w:b/>
          <w:sz w:val="32"/>
          <w:szCs w:val="32"/>
        </w:rPr>
        <w:tab/>
      </w:r>
    </w:p>
    <w:p w:rsidR="009952E0" w:rsidRPr="009952E0" w:rsidRDefault="009952E0" w:rsidP="009952E0">
      <w:pPr>
        <w:rPr>
          <w:b/>
          <w:sz w:val="32"/>
          <w:szCs w:val="32"/>
        </w:rPr>
      </w:pPr>
      <w:r w:rsidRPr="009952E0">
        <w:rPr>
          <w:b/>
          <w:sz w:val="32"/>
          <w:szCs w:val="32"/>
        </w:rPr>
        <w:tab/>
      </w:r>
    </w:p>
    <w:p w:rsidR="009952E0" w:rsidRPr="009952E0" w:rsidRDefault="009952E0" w:rsidP="009952E0">
      <w:pPr>
        <w:rPr>
          <w:b/>
          <w:sz w:val="32"/>
          <w:szCs w:val="32"/>
        </w:rPr>
      </w:pPr>
      <w:r w:rsidRPr="009952E0">
        <w:rPr>
          <w:b/>
          <w:sz w:val="32"/>
          <w:szCs w:val="32"/>
        </w:rPr>
        <w:tab/>
      </w:r>
    </w:p>
    <w:p w:rsidR="005B054F" w:rsidRDefault="005B054F">
      <w:pPr>
        <w:rPr>
          <w:sz w:val="32"/>
          <w:szCs w:val="32"/>
        </w:rPr>
      </w:pPr>
    </w:p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06F20"/>
    <w:rsid w:val="000F67EB"/>
    <w:rsid w:val="00113DE7"/>
    <w:rsid w:val="00147307"/>
    <w:rsid w:val="001D0059"/>
    <w:rsid w:val="00227263"/>
    <w:rsid w:val="003C745B"/>
    <w:rsid w:val="00424EB4"/>
    <w:rsid w:val="00464E1A"/>
    <w:rsid w:val="00492D1C"/>
    <w:rsid w:val="005371D9"/>
    <w:rsid w:val="00566441"/>
    <w:rsid w:val="00581390"/>
    <w:rsid w:val="005B054F"/>
    <w:rsid w:val="005E2BC4"/>
    <w:rsid w:val="0061115E"/>
    <w:rsid w:val="00645603"/>
    <w:rsid w:val="0068327A"/>
    <w:rsid w:val="006D2AC4"/>
    <w:rsid w:val="006F1D3F"/>
    <w:rsid w:val="006F559F"/>
    <w:rsid w:val="007048E8"/>
    <w:rsid w:val="00793201"/>
    <w:rsid w:val="007D10CD"/>
    <w:rsid w:val="00823DB5"/>
    <w:rsid w:val="00965047"/>
    <w:rsid w:val="009952E0"/>
    <w:rsid w:val="00A80E7B"/>
    <w:rsid w:val="00AF66B6"/>
    <w:rsid w:val="00CC012F"/>
    <w:rsid w:val="00EC664C"/>
    <w:rsid w:val="00EF52CC"/>
    <w:rsid w:val="00F905DA"/>
    <w:rsid w:val="00FB6494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3F0CC-6751-4F13-9A10-1B013A4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marys</cp:lastModifiedBy>
  <cp:revision>3</cp:revision>
  <cp:lastPrinted>2014-11-04T15:09:00Z</cp:lastPrinted>
  <dcterms:created xsi:type="dcterms:W3CDTF">2014-12-02T14:17:00Z</dcterms:created>
  <dcterms:modified xsi:type="dcterms:W3CDTF">2014-12-02T14:22:00Z</dcterms:modified>
</cp:coreProperties>
</file>